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widowControl/>
        <w:wordWrap w:val="0"/>
        <w:jc w:val="center"/>
      </w:pPr>
      <w:bookmarkStart w:id="0" w:name="_GoBack"/>
      <w:bookmarkEnd w:id="0"/>
      <w:r>
        <w:rPr>
          <w:rFonts w:ascii="方正小标宋_GBK" w:hAnsi="方正小标宋_GBK" w:eastAsia="方正小标宋_GBK" w:cs="方正小标宋_GBK"/>
          <w:color w:val="000000"/>
          <w:sz w:val="36"/>
          <w:szCs w:val="36"/>
        </w:rPr>
        <w:t>卫星无线电频率</w:t>
      </w: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</w:rPr>
        <w:t>使用可行性论证报告</w:t>
      </w:r>
    </w:p>
    <w:p>
      <w:pPr>
        <w:pStyle w:val="4"/>
        <w:widowControl/>
        <w:wordWrap w:val="0"/>
        <w:rPr>
          <w:rFonts w:ascii="黑体" w:hAnsi="宋体" w:eastAsia="黑体" w:cs="黑体"/>
          <w:color w:val="000000"/>
          <w:sz w:val="30"/>
          <w:szCs w:val="30"/>
        </w:rPr>
      </w:pPr>
    </w:p>
    <w:p>
      <w:pPr>
        <w:pStyle w:val="4"/>
        <w:widowControl/>
        <w:wordWrap w:val="0"/>
      </w:pPr>
      <w:r>
        <w:rPr>
          <w:rFonts w:hint="eastAsia" w:ascii="黑体" w:hAnsi="宋体" w:eastAsia="黑体" w:cs="黑体"/>
          <w:color w:val="000000"/>
          <w:sz w:val="30"/>
          <w:szCs w:val="30"/>
        </w:rPr>
        <w:t xml:space="preserve">   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一、卫星工程背景</w:t>
      </w:r>
    </w:p>
    <w:p>
      <w:pPr>
        <w:pStyle w:val="4"/>
        <w:widowControl/>
        <w:wordWrap w:val="0"/>
        <w:ind w:firstLine="640"/>
      </w:pPr>
      <w:r>
        <w:rPr>
          <w:rFonts w:ascii="楷体_GB2312" w:hAnsi="Arial" w:eastAsia="楷体_GB2312" w:cs="楷体_GB2312"/>
          <w:b/>
          <w:color w:val="000000"/>
          <w:sz w:val="32"/>
          <w:szCs w:val="32"/>
        </w:rPr>
        <w:t>（一）项目背景</w:t>
      </w:r>
    </w:p>
    <w:p>
      <w:pPr>
        <w:pStyle w:val="4"/>
        <w:widowControl/>
        <w:wordWrap w:val="0"/>
        <w:ind w:firstLine="640"/>
        <w:rPr>
          <w:highlight w:val="none"/>
        </w:rPr>
      </w:pPr>
      <w:r>
        <w:rPr>
          <w:rFonts w:ascii="仿宋_GB2312" w:hAnsi="Arial" w:eastAsia="仿宋_GB2312" w:cs="仿宋_GB2312"/>
          <w:color w:val="000000"/>
          <w:sz w:val="32"/>
          <w:szCs w:val="32"/>
          <w:highlight w:val="none"/>
        </w:rPr>
        <w:t>卫星项目背景情况，包括项目主管部门、项目类型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  <w:lang w:val="en-US" w:eastAsia="zh-CN"/>
        </w:rPr>
        <w:t>和来源</w:t>
      </w:r>
      <w:r>
        <w:rPr>
          <w:rFonts w:ascii="仿宋_GB2312" w:hAnsi="Arial" w:eastAsia="仿宋_GB2312" w:cs="仿宋_GB2312"/>
          <w:color w:val="000000"/>
          <w:sz w:val="32"/>
          <w:szCs w:val="32"/>
          <w:highlight w:val="none"/>
        </w:rPr>
        <w:t>（属于国务院、中央军委批准的卫星工程或其他卫星工程）、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  <w:lang w:val="en-US" w:eastAsia="zh-CN"/>
        </w:rPr>
        <w:t>卫星主要用户、</w:t>
      </w:r>
      <w:r>
        <w:rPr>
          <w:rFonts w:ascii="仿宋_GB2312" w:hAnsi="Arial" w:eastAsia="仿宋_GB2312" w:cs="仿宋_GB2312"/>
          <w:color w:val="000000"/>
          <w:sz w:val="32"/>
          <w:szCs w:val="32"/>
          <w:highlight w:val="none"/>
        </w:rPr>
        <w:t>卫星名称及对应卫星网络资料、卫星操作单位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  <w:lang w:val="en-US" w:eastAsia="zh-CN"/>
        </w:rPr>
        <w:t>频率轨道资源使用需求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</w:rPr>
        <w:t>（包括已申报卫星网络情况以及本次申报卫星网络与此前申报的关系）、</w:t>
      </w:r>
      <w:r>
        <w:rPr>
          <w:rFonts w:ascii="仿宋_GB2312" w:hAnsi="Arial" w:eastAsia="仿宋_GB2312" w:cs="仿宋_GB2312"/>
          <w:color w:val="000000"/>
          <w:sz w:val="32"/>
          <w:szCs w:val="32"/>
          <w:highlight w:val="none"/>
        </w:rPr>
        <w:t>卫星研制单位基本情况、卫星工程建设目的、工程研制周期、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</w:rPr>
        <w:t>卫星发射计划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  <w:lang w:val="en-US" w:eastAsia="zh-CN"/>
        </w:rPr>
        <w:t>卫星网络所包含的星座系统全周期发射计划，近三年的应更加详细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</w:rPr>
        <w:t>、</w:t>
      </w:r>
      <w:r>
        <w:rPr>
          <w:rFonts w:ascii="仿宋_GB2312" w:hAnsi="Arial" w:eastAsia="仿宋_GB2312" w:cs="仿宋_GB2312"/>
          <w:color w:val="000000"/>
          <w:sz w:val="32"/>
          <w:szCs w:val="32"/>
          <w:highlight w:val="none"/>
        </w:rPr>
        <w:t>卫星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  <w:lang w:val="en-US" w:eastAsia="zh-CN"/>
        </w:rPr>
        <w:t>预计</w:t>
      </w:r>
      <w:r>
        <w:rPr>
          <w:rFonts w:ascii="仿宋_GB2312" w:hAnsi="Arial" w:eastAsia="仿宋_GB2312" w:cs="仿宋_GB2312"/>
          <w:color w:val="000000"/>
          <w:sz w:val="32"/>
          <w:szCs w:val="32"/>
          <w:highlight w:val="none"/>
        </w:rPr>
        <w:t>在轨时间以及研制经费说明（含频率工作）等内容。</w:t>
      </w:r>
    </w:p>
    <w:p>
      <w:pPr>
        <w:pStyle w:val="4"/>
        <w:widowControl/>
        <w:wordWrap w:val="0"/>
        <w:ind w:firstLine="640"/>
      </w:pPr>
      <w:r>
        <w:rPr>
          <w:rFonts w:ascii="楷体_GB2312" w:hAnsi="Arial" w:eastAsia="楷体_GB2312" w:cs="楷体_GB2312"/>
          <w:b/>
          <w:color w:val="000000"/>
          <w:sz w:val="32"/>
          <w:szCs w:val="32"/>
        </w:rPr>
        <w:t>（二）系统特性</w:t>
      </w:r>
    </w:p>
    <w:p>
      <w:pPr>
        <w:pStyle w:val="4"/>
        <w:widowControl/>
        <w:wordWrap w:val="0"/>
        <w:ind w:firstLine="640"/>
      </w:pPr>
      <w:r>
        <w:rPr>
          <w:rFonts w:ascii="仿宋_GB2312" w:hAnsi="Arial" w:eastAsia="仿宋_GB2312" w:cs="仿宋_GB2312"/>
          <w:color w:val="000000"/>
          <w:sz w:val="32"/>
          <w:szCs w:val="32"/>
        </w:rPr>
        <w:t>包括卫星系统总体技术指标、频率使用计划、卫星数量、轨位设计（静止轨道卫星）和星座构型（非静止轨道卫星），以及地球站布局和用户终端技术特性等内容。</w:t>
      </w:r>
    </w:p>
    <w:p>
      <w:pPr>
        <w:pStyle w:val="4"/>
        <w:widowControl/>
        <w:wordWrap w:val="0"/>
        <w:ind w:firstLine="640"/>
      </w:pPr>
      <w:r>
        <w:rPr>
          <w:rFonts w:ascii="楷体_GB2312" w:hAnsi="Arial" w:eastAsia="楷体_GB2312" w:cs="楷体_GB2312"/>
          <w:b/>
          <w:color w:val="000000"/>
          <w:sz w:val="32"/>
          <w:szCs w:val="32"/>
        </w:rPr>
        <w:t>（三）主要功能</w:t>
      </w:r>
    </w:p>
    <w:p>
      <w:pPr>
        <w:pStyle w:val="4"/>
        <w:widowControl/>
        <w:wordWrap w:val="0"/>
        <w:ind w:firstLine="640"/>
        <w:rPr>
          <w:rFonts w:ascii="仿宋_GB2312" w:hAnsi="Arial" w:eastAsia="仿宋_GB2312" w:cs="仿宋_GB2312"/>
          <w:color w:val="000000"/>
          <w:sz w:val="32"/>
          <w:szCs w:val="32"/>
        </w:rPr>
      </w:pPr>
      <w:r>
        <w:rPr>
          <w:rFonts w:ascii="仿宋_GB2312" w:hAnsi="Arial" w:eastAsia="仿宋_GB2312" w:cs="仿宋_GB2312"/>
          <w:color w:val="000000"/>
          <w:sz w:val="32"/>
          <w:szCs w:val="32"/>
        </w:rPr>
        <w:t>根据卫星业务类型（如卫星通信、广播、导航、遥感、空间科学等），描述卫星系统功能、应用场景，以及实现卫星系统功能的主要途径和基本原理等。</w:t>
      </w:r>
    </w:p>
    <w:p>
      <w:pPr>
        <w:pStyle w:val="4"/>
        <w:widowControl/>
        <w:wordWrap w:val="0"/>
        <w:ind w:firstLine="640"/>
        <w:rPr>
          <w:rFonts w:ascii="仿宋_GB2312" w:hAnsi="Arial" w:eastAsia="仿宋_GB2312" w:cs="仿宋_GB2312"/>
          <w:color w:val="000000"/>
          <w:sz w:val="32"/>
          <w:szCs w:val="32"/>
        </w:rPr>
      </w:pPr>
    </w:p>
    <w:p>
      <w:pPr>
        <w:pStyle w:val="4"/>
        <w:widowControl/>
        <w:wordWrap w:val="0"/>
      </w:pPr>
      <w:r>
        <w:rPr>
          <w:rFonts w:ascii="仿宋_GB2312" w:hAnsi="Arial" w:eastAsia="仿宋_GB2312" w:cs="仿宋_GB2312"/>
          <w:b/>
          <w:color w:val="000000"/>
          <w:sz w:val="32"/>
          <w:szCs w:val="32"/>
        </w:rPr>
        <w:t xml:space="preserve">    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二、卫星无线电频率和轨道资源使用需求分析</w:t>
      </w:r>
    </w:p>
    <w:p>
      <w:pPr>
        <w:pStyle w:val="4"/>
        <w:widowControl/>
        <w:wordWrap w:val="0"/>
      </w:pPr>
      <w:r>
        <w:rPr>
          <w:rFonts w:ascii="楷体_GB2312" w:hAnsi="Arial" w:eastAsia="楷体_GB2312" w:cs="楷体_GB2312"/>
          <w:b/>
          <w:color w:val="000000"/>
          <w:sz w:val="32"/>
          <w:szCs w:val="32"/>
        </w:rPr>
        <w:t xml:space="preserve">    （一）频率需求</w:t>
      </w:r>
    </w:p>
    <w:p>
      <w:pPr>
        <w:pStyle w:val="4"/>
        <w:widowControl/>
        <w:wordWrap w:val="0"/>
      </w:pPr>
      <w:r>
        <w:rPr>
          <w:rFonts w:ascii="仿宋_GB2312" w:hAnsi="Arial" w:eastAsia="仿宋_GB2312" w:cs="仿宋_GB2312"/>
          <w:color w:val="000000"/>
          <w:sz w:val="32"/>
          <w:szCs w:val="32"/>
        </w:rPr>
        <w:t xml:space="preserve">    列出卫星工程对拟用频段、传输速率、必要带宽、覆盖范围、发射功率等的技术要求。其中，在频率使用上，应根据卫星业务类型（如卫星通信、广播、导航、遥感、空间科学等），列出载荷频率使用方案（卫星通信系统还应细分为用户链路、馈线链路等）、测控频率使用方案以及星间链路等频率使用方案等。</w:t>
      </w:r>
    </w:p>
    <w:p>
      <w:pPr>
        <w:pStyle w:val="4"/>
        <w:widowControl/>
        <w:wordWrap w:val="0"/>
      </w:pPr>
      <w:r>
        <w:rPr>
          <w:rFonts w:ascii="楷体_GB2312" w:hAnsi="Arial" w:eastAsia="楷体_GB2312" w:cs="楷体_GB2312"/>
          <w:b/>
          <w:color w:val="000000"/>
          <w:sz w:val="32"/>
          <w:szCs w:val="32"/>
        </w:rPr>
        <w:t xml:space="preserve">    （二）轨位需求</w:t>
      </w:r>
    </w:p>
    <w:p>
      <w:pPr>
        <w:pStyle w:val="4"/>
        <w:widowControl/>
        <w:wordWrap w:val="0"/>
        <w:ind w:firstLine="640"/>
      </w:pPr>
      <w:r>
        <w:rPr>
          <w:rFonts w:ascii="仿宋_GB2312" w:hAnsi="Arial" w:eastAsia="仿宋_GB2312" w:cs="仿宋_GB2312"/>
          <w:color w:val="000000"/>
          <w:sz w:val="32"/>
          <w:szCs w:val="32"/>
        </w:rPr>
        <w:t>列出卫星工程对拟用轨道类型和轨位设计的技术要求。包括轨道位置（静止轨道卫星），星座系统（非静止轨道卫星）的倾角、轨道面高度和数量、每个轨道面的卫星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lang w:val="en-US" w:eastAsia="zh-CN"/>
        </w:rPr>
        <w:t>数量</w:t>
      </w:r>
      <w:r>
        <w:rPr>
          <w:rFonts w:ascii="仿宋_GB2312" w:hAnsi="Arial" w:eastAsia="仿宋_GB2312" w:cs="仿宋_GB2312"/>
          <w:color w:val="000000"/>
          <w:sz w:val="32"/>
          <w:szCs w:val="32"/>
        </w:rPr>
        <w:t>、过顶开机时间、升（降）交点地方时等具体参数。</w:t>
      </w:r>
    </w:p>
    <w:p>
      <w:pPr>
        <w:pStyle w:val="4"/>
        <w:widowControl/>
        <w:wordWrap w:val="0"/>
        <w:ind w:firstLine="640"/>
      </w:pPr>
      <w:r>
        <w:rPr>
          <w:rFonts w:hint="eastAsia" w:ascii="黑体" w:hAnsi="宋体" w:eastAsia="黑体" w:cs="黑体"/>
          <w:color w:val="000000"/>
          <w:sz w:val="32"/>
          <w:szCs w:val="32"/>
        </w:rPr>
        <w:t>三、拟使用卫星网络的特性及合法性合规性检查情况</w:t>
      </w:r>
    </w:p>
    <w:p>
      <w:pPr>
        <w:pStyle w:val="4"/>
        <w:widowControl/>
        <w:wordWrap w:val="0"/>
        <w:ind w:firstLine="640"/>
      </w:pPr>
      <w:r>
        <w:rPr>
          <w:rFonts w:ascii="仿宋_GB2312" w:hAnsi="Arial" w:eastAsia="仿宋_GB2312" w:cs="仿宋_GB2312"/>
          <w:color w:val="000000"/>
          <w:sz w:val="32"/>
          <w:szCs w:val="32"/>
        </w:rPr>
        <w:t>列出与卫星工程相关的卫星网络资料特性和申报状态，开展卫星网络特性与卫星工程的匹配性分析，对照检查是否符合国际电联《无线电规则》和国内《无线电频率划分规定》等相关规定，并附上使用国际电联分析软件自查情况说明。</w:t>
      </w:r>
    </w:p>
    <w:p>
      <w:pPr>
        <w:pStyle w:val="4"/>
        <w:widowControl/>
        <w:wordWrap w:val="0"/>
      </w:pPr>
      <w:r>
        <w:rPr>
          <w:rFonts w:ascii="仿宋_GB2312" w:hAnsi="Arial" w:eastAsia="仿宋_GB2312" w:cs="仿宋_GB2312"/>
          <w:b/>
          <w:color w:val="000000"/>
          <w:sz w:val="32"/>
          <w:szCs w:val="32"/>
        </w:rPr>
        <w:t xml:space="preserve">    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四、拟使用卫星网络的协调状态和协调形势分析</w:t>
      </w:r>
    </w:p>
    <w:p>
      <w:pPr>
        <w:pStyle w:val="4"/>
        <w:widowControl/>
        <w:wordWrap w:val="0"/>
        <w:ind w:firstLine="640"/>
        <w:rPr>
          <w:rFonts w:ascii="仿宋_GB2312" w:hAnsi="Arial" w:eastAsia="仿宋_GB2312" w:cs="仿宋_GB2312"/>
          <w:color w:val="000000"/>
          <w:sz w:val="32"/>
          <w:szCs w:val="32"/>
        </w:rPr>
      </w:pPr>
      <w:r>
        <w:rPr>
          <w:rFonts w:ascii="仿宋_GB2312" w:hAnsi="Arial" w:eastAsia="仿宋_GB2312" w:cs="仿宋_GB2312"/>
          <w:color w:val="000000"/>
          <w:sz w:val="32"/>
          <w:szCs w:val="32"/>
        </w:rPr>
        <w:t>归纳卫星网络特性、国际电联审查结论，以及卫星网络协调和维护状态，就卫星网络与国内国际相关空间业务、地面业务的协调态势进行分析，列出需要开展协调的空间业务和地面业务系统清单，提出相应协调策略。</w:t>
      </w:r>
    </w:p>
    <w:p>
      <w:pPr>
        <w:numPr>
          <w:ilvl w:val="0"/>
          <w:numId w:val="1"/>
        </w:numPr>
        <w:spacing w:line="276" w:lineRule="auto"/>
        <w:rPr>
          <w:rFonts w:ascii="楷体_GB2312" w:hAnsi="Arial" w:eastAsia="楷体_GB2312" w:cs="楷体_GB2312"/>
          <w:b/>
          <w:color w:val="000000"/>
          <w:sz w:val="32"/>
          <w:szCs w:val="32"/>
        </w:rPr>
      </w:pPr>
      <w:r>
        <w:rPr>
          <w:rFonts w:hint="eastAsia" w:ascii="楷体_GB2312" w:hAnsi="Arial" w:eastAsia="楷体_GB2312" w:cs="楷体_GB2312"/>
          <w:b/>
          <w:color w:val="000000"/>
          <w:sz w:val="32"/>
          <w:szCs w:val="32"/>
        </w:rPr>
        <w:t>国内协调态势分析</w:t>
      </w:r>
    </w:p>
    <w:p>
      <w:pPr>
        <w:pStyle w:val="7"/>
        <w:numPr>
          <w:ilvl w:val="0"/>
          <w:numId w:val="2"/>
        </w:numPr>
        <w:tabs>
          <w:tab w:val="left" w:pos="1311"/>
        </w:tabs>
        <w:spacing w:line="276" w:lineRule="auto"/>
        <w:ind w:firstLine="640"/>
        <w:rPr>
          <w:rFonts w:ascii="仿宋_GB2312" w:hAnsi="Arial" w:eastAsia="仿宋_GB2312" w:cs="仿宋_GB2312"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  <w:lang w:val="en"/>
        </w:rPr>
        <w:t>测控频率</w:t>
      </w:r>
    </w:p>
    <w:p>
      <w:pPr>
        <w:pStyle w:val="7"/>
        <w:numPr>
          <w:ilvl w:val="0"/>
          <w:numId w:val="2"/>
        </w:numPr>
        <w:tabs>
          <w:tab w:val="left" w:pos="1311"/>
        </w:tabs>
        <w:spacing w:line="276" w:lineRule="auto"/>
        <w:ind w:firstLine="640"/>
        <w:rPr>
          <w:rFonts w:ascii="仿宋_GB2312" w:hAnsi="Arial" w:eastAsia="仿宋_GB2312" w:cs="仿宋_GB2312"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  <w:lang w:val="en"/>
        </w:rPr>
        <w:t>业务频率</w:t>
      </w:r>
    </w:p>
    <w:p>
      <w:pPr>
        <w:pStyle w:val="7"/>
        <w:numPr>
          <w:ilvl w:val="0"/>
          <w:numId w:val="2"/>
        </w:numPr>
        <w:tabs>
          <w:tab w:val="left" w:pos="1311"/>
        </w:tabs>
        <w:spacing w:line="276" w:lineRule="auto"/>
        <w:ind w:firstLine="640"/>
        <w:rPr>
          <w:rFonts w:ascii="仿宋_GB2312" w:hAnsi="Arial" w:eastAsia="仿宋_GB2312" w:cs="仿宋_GB2312"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  <w:lang w:val="en"/>
        </w:rPr>
        <w:t>星间</w:t>
      </w:r>
    </w:p>
    <w:p>
      <w:pPr>
        <w:pStyle w:val="7"/>
        <w:numPr>
          <w:ilvl w:val="0"/>
          <w:numId w:val="2"/>
        </w:numPr>
        <w:tabs>
          <w:tab w:val="left" w:pos="1311"/>
        </w:tabs>
        <w:spacing w:line="276" w:lineRule="auto"/>
        <w:ind w:firstLine="640"/>
        <w:rPr>
          <w:rFonts w:ascii="仿宋_GB2312" w:hAnsi="Arial" w:eastAsia="仿宋_GB2312" w:cs="仿宋_GB2312"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  <w:lang w:val="en"/>
        </w:rPr>
        <w:t>馈线频率</w:t>
      </w:r>
    </w:p>
    <w:p>
      <w:pPr>
        <w:pStyle w:val="7"/>
        <w:tabs>
          <w:tab w:val="left" w:pos="1311"/>
        </w:tabs>
        <w:spacing w:line="276" w:lineRule="auto"/>
        <w:ind w:left="642" w:firstLine="0" w:firstLineChars="0"/>
        <w:rPr>
          <w:rFonts w:ascii="仿宋_GB2312" w:hAnsi="Arial" w:eastAsia="仿宋_GB2312" w:cs="仿宋_GB2312"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b/>
          <w:bCs/>
          <w:color w:val="000000"/>
          <w:sz w:val="32"/>
          <w:szCs w:val="32"/>
          <w:lang w:val="en"/>
        </w:rPr>
        <w:t>小结：</w:t>
      </w:r>
    </w:p>
    <w:p>
      <w:pPr>
        <w:numPr>
          <w:ilvl w:val="0"/>
          <w:numId w:val="1"/>
        </w:numPr>
        <w:spacing w:line="276" w:lineRule="auto"/>
        <w:rPr>
          <w:rFonts w:ascii="楷体_GB2312" w:hAnsi="Arial" w:eastAsia="楷体_GB2312" w:cs="楷体_GB2312"/>
          <w:b/>
          <w:color w:val="000000"/>
          <w:sz w:val="32"/>
          <w:szCs w:val="32"/>
        </w:rPr>
      </w:pPr>
      <w:r>
        <w:rPr>
          <w:rFonts w:hint="eastAsia" w:ascii="楷体_GB2312" w:hAnsi="Arial" w:eastAsia="楷体_GB2312" w:cs="楷体_GB2312"/>
          <w:b/>
          <w:color w:val="000000"/>
          <w:sz w:val="32"/>
          <w:szCs w:val="32"/>
        </w:rPr>
        <w:t>国际协调态势分析</w:t>
      </w:r>
    </w:p>
    <w:p>
      <w:pPr>
        <w:pStyle w:val="7"/>
        <w:numPr>
          <w:ilvl w:val="0"/>
          <w:numId w:val="3"/>
        </w:numPr>
        <w:tabs>
          <w:tab w:val="left" w:pos="1311"/>
        </w:tabs>
        <w:spacing w:line="276" w:lineRule="auto"/>
        <w:ind w:firstLine="640"/>
        <w:rPr>
          <w:rFonts w:ascii="仿宋_GB2312" w:hAnsi="Arial" w:eastAsia="仿宋_GB2312" w:cs="仿宋_GB2312"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  <w:lang w:val="en"/>
        </w:rPr>
        <w:t>测控频率</w:t>
      </w:r>
    </w:p>
    <w:p>
      <w:pPr>
        <w:pStyle w:val="7"/>
        <w:numPr>
          <w:ilvl w:val="0"/>
          <w:numId w:val="3"/>
        </w:numPr>
        <w:tabs>
          <w:tab w:val="left" w:pos="1311"/>
        </w:tabs>
        <w:spacing w:line="276" w:lineRule="auto"/>
        <w:ind w:firstLine="640"/>
        <w:rPr>
          <w:rFonts w:ascii="仿宋_GB2312" w:hAnsi="Arial" w:eastAsia="仿宋_GB2312" w:cs="仿宋_GB2312"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  <w:lang w:val="en"/>
        </w:rPr>
        <w:t>业务频率</w:t>
      </w:r>
    </w:p>
    <w:p>
      <w:pPr>
        <w:pStyle w:val="7"/>
        <w:numPr>
          <w:ilvl w:val="0"/>
          <w:numId w:val="3"/>
        </w:numPr>
        <w:tabs>
          <w:tab w:val="left" w:pos="1311"/>
        </w:tabs>
        <w:spacing w:line="276" w:lineRule="auto"/>
        <w:ind w:firstLine="640"/>
        <w:rPr>
          <w:rFonts w:ascii="仿宋_GB2312" w:hAnsi="Arial" w:eastAsia="仿宋_GB2312" w:cs="仿宋_GB2312"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  <w:lang w:val="en"/>
        </w:rPr>
        <w:t>星间</w:t>
      </w:r>
    </w:p>
    <w:p>
      <w:pPr>
        <w:pStyle w:val="7"/>
        <w:numPr>
          <w:ilvl w:val="0"/>
          <w:numId w:val="3"/>
        </w:numPr>
        <w:tabs>
          <w:tab w:val="left" w:pos="1311"/>
        </w:tabs>
        <w:spacing w:line="276" w:lineRule="auto"/>
        <w:ind w:firstLine="640"/>
        <w:rPr>
          <w:rFonts w:ascii="仿宋_GB2312" w:hAnsi="Arial" w:eastAsia="仿宋_GB2312" w:cs="仿宋_GB2312"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  <w:lang w:val="en"/>
        </w:rPr>
        <w:t>馈线频率</w:t>
      </w:r>
    </w:p>
    <w:p>
      <w:pPr>
        <w:pStyle w:val="7"/>
        <w:tabs>
          <w:tab w:val="left" w:pos="1311"/>
        </w:tabs>
        <w:spacing w:line="276" w:lineRule="auto"/>
        <w:ind w:left="642" w:firstLine="0" w:firstLineChars="0"/>
      </w:pPr>
      <w:r>
        <w:rPr>
          <w:rFonts w:hint="eastAsia" w:ascii="仿宋_GB2312" w:hAnsi="Arial" w:eastAsia="仿宋_GB2312" w:cs="仿宋_GB2312"/>
          <w:b/>
          <w:bCs/>
          <w:color w:val="000000"/>
          <w:sz w:val="32"/>
          <w:szCs w:val="32"/>
          <w:lang w:val="en"/>
        </w:rPr>
        <w:t>小结：</w:t>
      </w:r>
    </w:p>
    <w:p>
      <w:pPr>
        <w:pStyle w:val="4"/>
        <w:widowControl/>
        <w:wordWrap w:val="0"/>
        <w:rPr>
          <w:rFonts w:ascii="黑体" w:hAnsi="黑体" w:eastAsia="黑体" w:cs="黑体"/>
          <w:bCs/>
          <w:color w:val="000000"/>
          <w:sz w:val="32"/>
          <w:szCs w:val="32"/>
        </w:rPr>
      </w:pPr>
      <w:r>
        <w:rPr>
          <w:rFonts w:ascii="仿宋_GB2312" w:hAnsi="Arial" w:eastAsia="仿宋_GB2312" w:cs="仿宋_GB2312"/>
          <w:b/>
          <w:color w:val="000000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五、与同频邻频相关空间业务和地面业务的兼容共用分析</w:t>
      </w:r>
    </w:p>
    <w:p>
      <w:pPr>
        <w:pStyle w:val="4"/>
        <w:widowControl/>
        <w:wordWrap w:val="0"/>
        <w:ind w:firstLine="640"/>
        <w:rPr>
          <w:rFonts w:ascii="仿宋_GB2312" w:hAnsi="Arial" w:eastAsia="仿宋_GB2312" w:cs="仿宋_GB2312"/>
          <w:color w:val="000000"/>
          <w:sz w:val="32"/>
          <w:szCs w:val="32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针对使用频率的按测控频率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业务频率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lang w:val="en-US" w:eastAsia="zh-CN"/>
        </w:rPr>
        <w:t>星间链路频率、馈线频率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，分频段进行同频、邻频兼容共用分析，主要包括与空间业务、地面业务等兼容分析情况，可通过但不限于国际电联《无线电规则》中规则限值、决议、建议书等作为协调参考，分析相关协调态势，并得出初步分析共用结论。如存在风险点，请开展相关风险论证，并提出可行风险规避措施。</w:t>
      </w:r>
    </w:p>
    <w:p>
      <w:pPr>
        <w:pStyle w:val="4"/>
        <w:widowControl/>
        <w:wordWrap w:val="0"/>
        <w:ind w:firstLine="640"/>
        <w:rPr>
          <w:rFonts w:ascii="仿宋_GB2312" w:hAnsi="Arial" w:eastAsia="仿宋_GB2312" w:cs="仿宋_GB2312"/>
          <w:color w:val="000000"/>
          <w:sz w:val="32"/>
          <w:szCs w:val="32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兼容共用分析部分需增加相应的理论分析计算过程及结果，特别是对于空地兼容共用分析中，如21.16款中对于地面业务保护相应的PFD限值计算公式、过程及结果。空间业务分析中，如22.5款中的相应限值计算公式过程、过程及结果。</w:t>
      </w:r>
    </w:p>
    <w:p>
      <w:pPr>
        <w:pStyle w:val="4"/>
        <w:widowControl/>
        <w:wordWrap w:val="0"/>
        <w:ind w:firstLine="640"/>
        <w:rPr>
          <w:rFonts w:ascii="仿宋_GB2312" w:hAnsi="Arial" w:eastAsia="仿宋_GB2312" w:cs="仿宋_GB2312"/>
          <w:color w:val="000000"/>
          <w:sz w:val="32"/>
          <w:szCs w:val="32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此外，与地面业务的兼容分析中，不仅要分析对于地面业务的干扰场景，同时也需分析地面业务对于空间业务系统的干扰分析。</w:t>
      </w:r>
    </w:p>
    <w:p>
      <w:pPr>
        <w:numPr>
          <w:ilvl w:val="0"/>
          <w:numId w:val="4"/>
        </w:numPr>
        <w:spacing w:line="276" w:lineRule="auto"/>
        <w:rPr>
          <w:rFonts w:ascii="楷体_GB2312" w:hAnsi="Arial" w:eastAsia="楷体_GB2312" w:cs="楷体_GB2312"/>
          <w:b/>
          <w:color w:val="000000"/>
          <w:sz w:val="32"/>
          <w:szCs w:val="32"/>
        </w:rPr>
      </w:pPr>
      <w:r>
        <w:rPr>
          <w:rFonts w:hint="eastAsia" w:ascii="楷体_GB2312" w:hAnsi="Arial" w:eastAsia="楷体_GB2312" w:cs="楷体_GB2312"/>
          <w:b/>
          <w:color w:val="000000"/>
          <w:sz w:val="32"/>
          <w:szCs w:val="32"/>
        </w:rPr>
        <w:t>测控频率</w:t>
      </w:r>
    </w:p>
    <w:p>
      <w:pPr>
        <w:spacing w:line="276" w:lineRule="auto"/>
        <w:ind w:firstLine="640" w:firstLineChars="200"/>
        <w:rPr>
          <w:rFonts w:ascii="仿宋_GB2312" w:hAnsi="Arial" w:eastAsia="仿宋_GB2312" w:cs="仿宋_GB2312"/>
          <w:color w:val="000000"/>
          <w:sz w:val="32"/>
          <w:szCs w:val="32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测控站设站情况，包含自主测控、商业测控以及国家测控，如自主测控，请说明相关测控站执照情况，如需新设测控站，请说明相关电磁频谱兼容情况。</w:t>
      </w:r>
    </w:p>
    <w:p>
      <w:pPr>
        <w:pStyle w:val="7"/>
        <w:numPr>
          <w:ilvl w:val="0"/>
          <w:numId w:val="5"/>
        </w:numPr>
        <w:tabs>
          <w:tab w:val="left" w:pos="1311"/>
        </w:tabs>
        <w:spacing w:line="276" w:lineRule="auto"/>
        <w:ind w:firstLine="640"/>
        <w:rPr>
          <w:rFonts w:ascii="仿宋_GB2312" w:hAnsi="Arial" w:eastAsia="仿宋_GB2312" w:cs="仿宋_GB2312"/>
          <w:color w:val="000000"/>
          <w:sz w:val="32"/>
          <w:szCs w:val="32"/>
          <w:lang w:val="en"/>
        </w:rPr>
      </w:pPr>
      <w:r>
        <w:rPr>
          <w:rFonts w:ascii="仿宋_GB2312" w:hAnsi="Arial" w:eastAsia="仿宋_GB2312" w:cs="仿宋_GB2312"/>
          <w:color w:val="000000"/>
          <w:sz w:val="32"/>
          <w:szCs w:val="32"/>
          <w:lang w:val="en"/>
        </w:rPr>
        <w:tab/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lang w:val="en"/>
        </w:rPr>
        <w:t>同频兼容形势分析（包含空间、地面业务）</w:t>
      </w:r>
    </w:p>
    <w:p>
      <w:pPr>
        <w:pStyle w:val="7"/>
        <w:tabs>
          <w:tab w:val="left" w:pos="1311"/>
        </w:tabs>
        <w:spacing w:line="276" w:lineRule="auto"/>
        <w:ind w:firstLine="643"/>
        <w:rPr>
          <w:rFonts w:ascii="仿宋_GB2312" w:hAnsi="Arial" w:eastAsia="仿宋_GB2312" w:cs="仿宋_GB2312"/>
          <w:b/>
          <w:bCs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b/>
          <w:bCs/>
          <w:color w:val="000000"/>
          <w:sz w:val="32"/>
          <w:szCs w:val="32"/>
          <w:lang w:val="en"/>
        </w:rPr>
        <w:t>小结：</w:t>
      </w:r>
    </w:p>
    <w:p>
      <w:pPr>
        <w:pStyle w:val="7"/>
        <w:numPr>
          <w:ilvl w:val="0"/>
          <w:numId w:val="5"/>
        </w:numPr>
        <w:tabs>
          <w:tab w:val="left" w:pos="1311"/>
        </w:tabs>
        <w:spacing w:line="276" w:lineRule="auto"/>
        <w:ind w:firstLine="640"/>
        <w:rPr>
          <w:rFonts w:ascii="仿宋_GB2312" w:hAnsi="Arial" w:eastAsia="仿宋_GB2312" w:cs="仿宋_GB2312"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  <w:lang w:val="en"/>
        </w:rPr>
        <w:t>邻频兼容形势分析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（包含空间、地面业务）</w:t>
      </w:r>
    </w:p>
    <w:p>
      <w:pPr>
        <w:pStyle w:val="7"/>
        <w:tabs>
          <w:tab w:val="left" w:pos="1311"/>
        </w:tabs>
        <w:spacing w:line="276" w:lineRule="auto"/>
        <w:ind w:firstLine="643"/>
        <w:rPr>
          <w:rFonts w:ascii="仿宋_GB2312" w:hAnsi="Arial" w:eastAsia="仿宋_GB2312" w:cs="仿宋_GB2312"/>
          <w:b/>
          <w:bCs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b/>
          <w:bCs/>
          <w:color w:val="000000"/>
          <w:sz w:val="32"/>
          <w:szCs w:val="32"/>
          <w:lang w:val="en"/>
        </w:rPr>
        <w:t>小结：</w:t>
      </w:r>
    </w:p>
    <w:p>
      <w:pPr>
        <w:numPr>
          <w:ilvl w:val="0"/>
          <w:numId w:val="4"/>
        </w:numPr>
        <w:spacing w:line="276" w:lineRule="auto"/>
        <w:rPr>
          <w:rFonts w:ascii="楷体_GB2312" w:hAnsi="Arial" w:eastAsia="楷体_GB2312" w:cs="楷体_GB2312"/>
          <w:b/>
          <w:color w:val="000000"/>
          <w:sz w:val="32"/>
          <w:szCs w:val="32"/>
        </w:rPr>
      </w:pPr>
      <w:r>
        <w:rPr>
          <w:rFonts w:hint="eastAsia" w:ascii="楷体_GB2312" w:hAnsi="Arial" w:eastAsia="楷体_GB2312" w:cs="楷体_GB2312"/>
          <w:b/>
          <w:color w:val="000000"/>
          <w:sz w:val="32"/>
          <w:szCs w:val="32"/>
        </w:rPr>
        <w:t>业务频率</w:t>
      </w:r>
    </w:p>
    <w:p>
      <w:pPr>
        <w:spacing w:line="276" w:lineRule="auto"/>
        <w:ind w:firstLine="640" w:firstLineChars="200"/>
        <w:rPr>
          <w:rFonts w:ascii="仿宋_GB2312" w:hAnsi="Arial" w:eastAsia="仿宋_GB2312" w:cs="仿宋_GB2312"/>
          <w:color w:val="000000"/>
          <w:sz w:val="32"/>
          <w:szCs w:val="32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按照拟使用的业务频率按照频段分别开展分析工作，如有与地面业务（如5G系统）、卫星实际系统同频等情况，按照国际电联相关规则、决议及建议书进行形势分析。</w:t>
      </w:r>
    </w:p>
    <w:p>
      <w:pPr>
        <w:pStyle w:val="7"/>
        <w:numPr>
          <w:ilvl w:val="0"/>
          <w:numId w:val="6"/>
        </w:numPr>
        <w:tabs>
          <w:tab w:val="left" w:pos="1311"/>
        </w:tabs>
        <w:spacing w:line="276" w:lineRule="auto"/>
        <w:ind w:firstLine="640"/>
        <w:rPr>
          <w:rFonts w:ascii="仿宋_GB2312" w:hAnsi="Arial" w:eastAsia="仿宋_GB2312" w:cs="仿宋_GB2312"/>
          <w:color w:val="000000"/>
          <w:sz w:val="32"/>
          <w:szCs w:val="32"/>
        </w:rPr>
      </w:pPr>
      <w:r>
        <w:rPr>
          <w:rFonts w:ascii="仿宋_GB2312" w:hAnsi="Arial" w:eastAsia="仿宋_GB2312" w:cs="仿宋_GB2312"/>
          <w:color w:val="000000"/>
          <w:sz w:val="32"/>
          <w:szCs w:val="32"/>
          <w:lang w:val="en"/>
        </w:rPr>
        <w:tab/>
      </w: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同频兼容形势分析（包含空间、地面业务）</w:t>
      </w:r>
    </w:p>
    <w:p>
      <w:pPr>
        <w:pStyle w:val="7"/>
        <w:tabs>
          <w:tab w:val="left" w:pos="1311"/>
        </w:tabs>
        <w:spacing w:line="276" w:lineRule="auto"/>
        <w:ind w:firstLine="643"/>
        <w:rPr>
          <w:rFonts w:ascii="仿宋_GB2312" w:hAnsi="Arial" w:eastAsia="仿宋_GB2312" w:cs="仿宋_GB2312"/>
          <w:b/>
          <w:bCs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b/>
          <w:bCs/>
          <w:color w:val="000000"/>
          <w:sz w:val="32"/>
          <w:szCs w:val="32"/>
          <w:lang w:val="en"/>
        </w:rPr>
        <w:t>小结：</w:t>
      </w:r>
    </w:p>
    <w:p>
      <w:pPr>
        <w:pStyle w:val="7"/>
        <w:numPr>
          <w:ilvl w:val="0"/>
          <w:numId w:val="6"/>
        </w:numPr>
        <w:tabs>
          <w:tab w:val="left" w:pos="1311"/>
        </w:tabs>
        <w:spacing w:line="276" w:lineRule="auto"/>
        <w:ind w:firstLine="640"/>
        <w:rPr>
          <w:rFonts w:ascii="仿宋_GB2312" w:hAnsi="Arial" w:eastAsia="仿宋_GB2312" w:cs="仿宋_GB2312"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  <w:lang w:val="en"/>
        </w:rPr>
        <w:t>邻频兼容形势分析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（包含空间、地面业务）</w:t>
      </w:r>
    </w:p>
    <w:p>
      <w:pPr>
        <w:pStyle w:val="7"/>
        <w:tabs>
          <w:tab w:val="left" w:pos="1311"/>
        </w:tabs>
        <w:spacing w:line="276" w:lineRule="auto"/>
        <w:ind w:firstLine="643"/>
        <w:rPr>
          <w:rFonts w:ascii="仿宋_GB2312" w:hAnsi="Arial" w:eastAsia="仿宋_GB2312" w:cs="仿宋_GB2312"/>
          <w:b/>
          <w:bCs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b/>
          <w:bCs/>
          <w:color w:val="000000"/>
          <w:sz w:val="32"/>
          <w:szCs w:val="32"/>
          <w:lang w:val="en"/>
        </w:rPr>
        <w:t>小结：</w:t>
      </w:r>
    </w:p>
    <w:p>
      <w:pPr>
        <w:numPr>
          <w:ilvl w:val="0"/>
          <w:numId w:val="4"/>
        </w:numPr>
        <w:spacing w:line="276" w:lineRule="auto"/>
        <w:rPr>
          <w:rFonts w:ascii="楷体_GB2312" w:hAnsi="Arial" w:eastAsia="楷体_GB2312" w:cs="楷体_GB2312"/>
          <w:b/>
          <w:color w:val="000000"/>
          <w:sz w:val="32"/>
          <w:szCs w:val="32"/>
        </w:rPr>
      </w:pPr>
      <w:r>
        <w:rPr>
          <w:rFonts w:hint="eastAsia" w:ascii="楷体_GB2312" w:hAnsi="Arial" w:eastAsia="楷体_GB2312" w:cs="楷体_GB2312"/>
          <w:b/>
          <w:color w:val="000000"/>
          <w:sz w:val="32"/>
          <w:szCs w:val="32"/>
        </w:rPr>
        <w:t>星间</w:t>
      </w:r>
      <w:r>
        <w:rPr>
          <w:rFonts w:hint="eastAsia" w:ascii="楷体_GB2312" w:hAnsi="Arial" w:eastAsia="楷体_GB2312" w:cs="楷体_GB2312"/>
          <w:b/>
          <w:color w:val="000000"/>
          <w:sz w:val="32"/>
          <w:szCs w:val="32"/>
          <w:lang w:val="en-US" w:eastAsia="zh-CN"/>
        </w:rPr>
        <w:t>链路频率</w:t>
      </w:r>
    </w:p>
    <w:p>
      <w:pPr>
        <w:numPr>
          <w:ilvl w:val="0"/>
          <w:numId w:val="4"/>
        </w:numPr>
        <w:spacing w:line="276" w:lineRule="auto"/>
        <w:rPr>
          <w:rFonts w:ascii="楷体_GB2312" w:hAnsi="Arial" w:eastAsia="楷体_GB2312" w:cs="楷体_GB2312"/>
          <w:b/>
          <w:color w:val="000000"/>
          <w:sz w:val="32"/>
          <w:szCs w:val="32"/>
        </w:rPr>
      </w:pPr>
      <w:r>
        <w:rPr>
          <w:rFonts w:hint="eastAsia" w:ascii="楷体_GB2312" w:hAnsi="Arial" w:eastAsia="楷体_GB2312" w:cs="楷体_GB2312"/>
          <w:b/>
          <w:color w:val="000000"/>
          <w:sz w:val="32"/>
          <w:szCs w:val="32"/>
        </w:rPr>
        <w:t>馈线频率</w:t>
      </w:r>
    </w:p>
    <w:p>
      <w:pPr>
        <w:spacing w:line="276" w:lineRule="auto"/>
        <w:ind w:firstLine="640" w:firstLineChars="200"/>
        <w:rPr>
          <w:rFonts w:ascii="仿宋_GB2312" w:hAnsi="Arial" w:eastAsia="仿宋_GB2312" w:cs="仿宋_GB2312"/>
          <w:color w:val="000000"/>
          <w:sz w:val="32"/>
          <w:szCs w:val="32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按照拟使用的星间、馈线频率按照频段分别开展分析工作，如有与地面业务（如5G系统）、卫星实际系统同频等情况，按照国际电联相关规则、决议及建议书进行形势分析。</w:t>
      </w:r>
    </w:p>
    <w:p>
      <w:pPr>
        <w:pStyle w:val="7"/>
        <w:numPr>
          <w:ilvl w:val="0"/>
          <w:numId w:val="7"/>
        </w:numPr>
        <w:tabs>
          <w:tab w:val="left" w:pos="1311"/>
        </w:tabs>
        <w:spacing w:line="276" w:lineRule="auto"/>
        <w:ind w:firstLine="640"/>
        <w:rPr>
          <w:rFonts w:ascii="仿宋_GB2312" w:hAnsi="Arial" w:eastAsia="仿宋_GB2312" w:cs="仿宋_GB2312"/>
          <w:color w:val="000000"/>
          <w:sz w:val="32"/>
          <w:szCs w:val="32"/>
        </w:rPr>
      </w:pPr>
      <w:r>
        <w:rPr>
          <w:rFonts w:ascii="仿宋_GB2312" w:hAnsi="Arial" w:eastAsia="仿宋_GB2312" w:cs="仿宋_GB2312"/>
          <w:color w:val="000000"/>
          <w:sz w:val="32"/>
          <w:szCs w:val="32"/>
          <w:lang w:val="en"/>
        </w:rPr>
        <w:tab/>
      </w: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同频兼容形势分析（包含空间、地面业务）</w:t>
      </w:r>
    </w:p>
    <w:p>
      <w:pPr>
        <w:pStyle w:val="7"/>
        <w:tabs>
          <w:tab w:val="left" w:pos="1311"/>
        </w:tabs>
        <w:spacing w:line="276" w:lineRule="auto"/>
        <w:ind w:firstLine="643"/>
        <w:rPr>
          <w:rFonts w:ascii="仿宋_GB2312" w:hAnsi="Arial" w:eastAsia="仿宋_GB2312" w:cs="仿宋_GB2312"/>
          <w:b/>
          <w:bCs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b/>
          <w:bCs/>
          <w:color w:val="000000"/>
          <w:sz w:val="32"/>
          <w:szCs w:val="32"/>
          <w:lang w:val="en"/>
        </w:rPr>
        <w:t>小结：</w:t>
      </w:r>
    </w:p>
    <w:p>
      <w:pPr>
        <w:pStyle w:val="7"/>
        <w:numPr>
          <w:ilvl w:val="0"/>
          <w:numId w:val="7"/>
        </w:numPr>
        <w:tabs>
          <w:tab w:val="left" w:pos="1311"/>
        </w:tabs>
        <w:spacing w:line="276" w:lineRule="auto"/>
        <w:ind w:firstLine="640"/>
        <w:rPr>
          <w:rFonts w:ascii="仿宋_GB2312" w:hAnsi="Arial" w:eastAsia="仿宋_GB2312" w:cs="仿宋_GB2312"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  <w:lang w:val="en"/>
        </w:rPr>
        <w:t>邻频兼容形势分析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（包含空间、地面业务）</w:t>
      </w:r>
    </w:p>
    <w:p>
      <w:pPr>
        <w:pStyle w:val="7"/>
        <w:tabs>
          <w:tab w:val="left" w:pos="1311"/>
        </w:tabs>
        <w:spacing w:line="276" w:lineRule="auto"/>
        <w:ind w:firstLine="643"/>
        <w:rPr>
          <w:rFonts w:ascii="仿宋_GB2312" w:hAnsi="Arial" w:eastAsia="仿宋_GB2312" w:cs="仿宋_GB2312"/>
          <w:b/>
          <w:bCs/>
          <w:color w:val="000000"/>
          <w:sz w:val="32"/>
          <w:szCs w:val="32"/>
          <w:lang w:val="en"/>
        </w:rPr>
      </w:pPr>
      <w:r>
        <w:rPr>
          <w:rFonts w:hint="eastAsia" w:ascii="仿宋_GB2312" w:hAnsi="Arial" w:eastAsia="仿宋_GB2312" w:cs="仿宋_GB2312"/>
          <w:b/>
          <w:bCs/>
          <w:color w:val="000000"/>
          <w:sz w:val="32"/>
          <w:szCs w:val="32"/>
          <w:lang w:val="en"/>
        </w:rPr>
        <w:t>小结：</w:t>
      </w:r>
    </w:p>
    <w:p>
      <w:pPr>
        <w:numPr>
          <w:ilvl w:val="0"/>
          <w:numId w:val="4"/>
        </w:numPr>
        <w:spacing w:line="276" w:lineRule="auto"/>
        <w:rPr>
          <w:rFonts w:ascii="仿宋_GB2312" w:hAnsi="Arial" w:eastAsia="仿宋_GB2312" w:cs="仿宋_GB2312"/>
          <w:b/>
          <w:bCs/>
          <w:color w:val="000000"/>
          <w:sz w:val="32"/>
          <w:szCs w:val="32"/>
          <w:lang w:val="en"/>
        </w:rPr>
      </w:pPr>
      <w:r>
        <w:rPr>
          <w:rFonts w:hint="eastAsia" w:ascii="楷体_GB2312" w:hAnsi="Arial" w:eastAsia="楷体_GB2312" w:cs="楷体_GB2312"/>
          <w:b/>
          <w:color w:val="000000"/>
          <w:sz w:val="32"/>
          <w:szCs w:val="32"/>
        </w:rPr>
        <w:t>兼容分析结论</w:t>
      </w:r>
    </w:p>
    <w:p>
      <w:pPr>
        <w:pStyle w:val="4"/>
        <w:widowControl/>
        <w:wordWrap w:val="0"/>
        <w:ind w:left="447"/>
        <w:rPr>
          <w:highlight w:val="none"/>
        </w:rPr>
      </w:pPr>
      <w:r>
        <w:rPr>
          <w:rFonts w:hint="eastAsia" w:ascii="黑体" w:hAnsi="宋体" w:eastAsia="黑体" w:cs="黑体"/>
          <w:color w:val="000000"/>
          <w:sz w:val="32"/>
          <w:szCs w:val="32"/>
          <w:highlight w:val="none"/>
        </w:rPr>
        <w:t>六、卫星无线电频率和轨道资源使用的可行性</w:t>
      </w:r>
      <w:r>
        <w:rPr>
          <w:rFonts w:hint="eastAsia" w:ascii="黑体" w:hAnsi="宋体" w:eastAsia="黑体" w:cs="黑体"/>
          <w:color w:val="000000"/>
          <w:sz w:val="32"/>
          <w:szCs w:val="32"/>
          <w:highlight w:val="none"/>
          <w:lang w:eastAsia="zh-CN"/>
        </w:rPr>
        <w:t>论证</w:t>
      </w:r>
    </w:p>
    <w:p>
      <w:pPr>
        <w:pStyle w:val="4"/>
        <w:widowControl/>
        <w:wordWrap w:val="0"/>
        <w:ind w:firstLine="640"/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  <w:lang w:eastAsia="zh-CN"/>
        </w:rPr>
        <w:t>（一）可行性评估</w:t>
      </w:r>
    </w:p>
    <w:p>
      <w:pPr>
        <w:pStyle w:val="4"/>
        <w:widowControl/>
        <w:wordWrap w:val="0"/>
        <w:ind w:firstLine="640"/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  <w:lang w:eastAsia="zh-CN"/>
        </w:rPr>
      </w:pPr>
      <w:r>
        <w:rPr>
          <w:rFonts w:ascii="仿宋_GB2312" w:hAnsi="Arial" w:eastAsia="仿宋_GB2312" w:cs="仿宋_GB2312"/>
          <w:color w:val="000000"/>
          <w:sz w:val="32"/>
          <w:szCs w:val="32"/>
          <w:highlight w:val="none"/>
        </w:rPr>
        <w:t>结合卫星网络申报协调有关态势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  <w:lang w:eastAsia="zh-CN"/>
        </w:rPr>
        <w:t>，分频段、业务类型、使用计划</w:t>
      </w:r>
      <w:r>
        <w:rPr>
          <w:rFonts w:ascii="仿宋_GB2312" w:hAnsi="Arial" w:eastAsia="仿宋_GB2312" w:cs="仿宋_GB2312"/>
          <w:color w:val="000000"/>
          <w:sz w:val="32"/>
          <w:szCs w:val="32"/>
          <w:highlight w:val="none"/>
        </w:rPr>
        <w:t>以及电磁兼容特性等情况，列出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  <w:lang w:eastAsia="zh-CN"/>
        </w:rPr>
        <w:t>国际、国内协调使用的</w:t>
      </w:r>
      <w:r>
        <w:rPr>
          <w:rFonts w:ascii="仿宋_GB2312" w:hAnsi="Arial" w:eastAsia="仿宋_GB2312" w:cs="仿宋_GB2312"/>
          <w:color w:val="000000"/>
          <w:sz w:val="32"/>
          <w:szCs w:val="32"/>
          <w:highlight w:val="none"/>
        </w:rPr>
        <w:t>主要风险点，并从规则、技术、操作等多方面分析评估卫星无线电频率和轨道资源的可行性。</w:t>
      </w:r>
    </w:p>
    <w:p>
      <w:pPr>
        <w:pStyle w:val="4"/>
        <w:widowControl/>
        <w:wordWrap w:val="0"/>
        <w:ind w:firstLine="640"/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Arial" w:eastAsia="仿宋_GB2312" w:cs="仿宋_GB2312"/>
          <w:color w:val="000000"/>
          <w:sz w:val="32"/>
          <w:szCs w:val="32"/>
          <w:highlight w:val="none"/>
          <w:lang w:eastAsia="zh-CN"/>
        </w:rPr>
        <w:t>（二）风险应对措施</w:t>
      </w:r>
    </w:p>
    <w:p>
      <w:pPr>
        <w:pStyle w:val="4"/>
        <w:widowControl/>
        <w:wordWrap w:val="0"/>
        <w:ind w:firstLine="640"/>
        <w:rPr>
          <w:highlight w:val="none"/>
        </w:rPr>
      </w:pPr>
      <w:r>
        <w:rPr>
          <w:rFonts w:ascii="仿宋_GB2312" w:hAnsi="Arial" w:eastAsia="仿宋_GB2312" w:cs="仿宋_GB2312"/>
          <w:color w:val="000000"/>
          <w:sz w:val="32"/>
          <w:szCs w:val="32"/>
          <w:highlight w:val="none"/>
        </w:rPr>
        <w:t>根据卫星无线电频率和轨道资源可行性分析结果，针对潜在风险点对卫星工程建设可能造成的影响，提出合理可行的风险应对措施。</w:t>
      </w:r>
    </w:p>
    <w:p>
      <w:pPr>
        <w:pStyle w:val="4"/>
        <w:widowControl/>
        <w:wordWrap w:val="0"/>
        <w:ind w:left="447"/>
      </w:pPr>
      <w:r>
        <w:rPr>
          <w:rFonts w:hint="eastAsia" w:ascii="黑体" w:hAnsi="宋体" w:eastAsia="黑体" w:cs="黑体"/>
          <w:color w:val="000000"/>
          <w:sz w:val="32"/>
          <w:szCs w:val="32"/>
          <w:lang w:val="en-US" w:eastAsia="zh-CN"/>
        </w:rPr>
        <w:t>七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、结论和建议</w:t>
      </w:r>
    </w:p>
    <w:p>
      <w:pPr>
        <w:pStyle w:val="4"/>
        <w:widowControl/>
        <w:wordWrap w:val="0"/>
        <w:ind w:firstLine="640"/>
      </w:pPr>
      <w:r>
        <w:rPr>
          <w:rFonts w:ascii="仿宋_GB2312" w:hAnsi="Arial" w:eastAsia="仿宋_GB2312" w:cs="仿宋_GB2312"/>
          <w:color w:val="000000"/>
          <w:sz w:val="32"/>
          <w:szCs w:val="32"/>
        </w:rPr>
        <w:t>综合以上分析，形成相应结论，提出相关建议。</w:t>
      </w:r>
    </w:p>
    <w:p>
      <w:pPr>
        <w:pStyle w:val="4"/>
        <w:widowControl/>
        <w:wordWrap w:val="0"/>
        <w:ind w:left="447"/>
      </w:pPr>
      <w:r>
        <w:rPr>
          <w:rFonts w:hint="eastAsia" w:ascii="黑体" w:hAnsi="宋体" w:eastAsia="黑体" w:cs="黑体"/>
          <w:color w:val="000000"/>
          <w:sz w:val="32"/>
          <w:szCs w:val="32"/>
          <w:lang w:val="en-US" w:eastAsia="zh-CN"/>
        </w:rPr>
        <w:t>八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、其他需要说明的情况</w:t>
      </w:r>
    </w:p>
    <w:p>
      <w:pPr>
        <w:pStyle w:val="4"/>
        <w:widowControl/>
        <w:wordWrap w:val="0"/>
      </w:pPr>
      <w:r>
        <w:rPr>
          <w:rFonts w:ascii="仿宋_GB2312" w:hAnsi="Arial" w:eastAsia="仿宋_GB2312" w:cs="仿宋_GB2312"/>
          <w:color w:val="000000"/>
          <w:sz w:val="32"/>
          <w:szCs w:val="32"/>
        </w:rPr>
        <w:t xml:space="preserve">    对以上未涵盖或主管部门要求提交的内容予以说明。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DDB21A"/>
    <w:multiLevelType w:val="singleLevel"/>
    <w:tmpl w:val="B7DDB21A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BB8A09CD"/>
    <w:multiLevelType w:val="singleLevel"/>
    <w:tmpl w:val="BB8A09CD"/>
    <w:lvl w:ilvl="0" w:tentative="0">
      <w:start w:val="1"/>
      <w:numFmt w:val="decimal"/>
      <w:suff w:val="space"/>
      <w:lvlText w:val="(%1)"/>
      <w:lvlJc w:val="left"/>
    </w:lvl>
  </w:abstractNum>
  <w:abstractNum w:abstractNumId="2">
    <w:nsid w:val="FBDA1680"/>
    <w:multiLevelType w:val="singleLevel"/>
    <w:tmpl w:val="FBDA1680"/>
    <w:lvl w:ilvl="0" w:tentative="0">
      <w:start w:val="1"/>
      <w:numFmt w:val="decimal"/>
      <w:suff w:val="space"/>
      <w:lvlText w:val="(%1)"/>
      <w:lvlJc w:val="left"/>
    </w:lvl>
  </w:abstractNum>
  <w:abstractNum w:abstractNumId="3">
    <w:nsid w:val="15550D4E"/>
    <w:multiLevelType w:val="singleLevel"/>
    <w:tmpl w:val="15550D4E"/>
    <w:lvl w:ilvl="0" w:tentative="0">
      <w:start w:val="1"/>
      <w:numFmt w:val="decimal"/>
      <w:suff w:val="space"/>
      <w:lvlText w:val="(%1)"/>
      <w:lvlJc w:val="left"/>
    </w:lvl>
  </w:abstractNum>
  <w:abstractNum w:abstractNumId="4">
    <w:nsid w:val="28876DD1"/>
    <w:multiLevelType w:val="singleLevel"/>
    <w:tmpl w:val="28876DD1"/>
    <w:lvl w:ilvl="0" w:tentative="0">
      <w:start w:val="1"/>
      <w:numFmt w:val="decimal"/>
      <w:suff w:val="space"/>
      <w:lvlText w:val="(%1)"/>
      <w:lvlJc w:val="left"/>
    </w:lvl>
  </w:abstractNum>
  <w:abstractNum w:abstractNumId="5">
    <w:nsid w:val="620C41DC"/>
    <w:multiLevelType w:val="singleLevel"/>
    <w:tmpl w:val="620C41D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6">
    <w:nsid w:val="713D6E4D"/>
    <w:multiLevelType w:val="singleLevel"/>
    <w:tmpl w:val="713D6E4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ocumentProtection w:enforcement="0"/>
  <w:defaultTabStop w:val="420"/>
  <w:drawingGridVerticalSpacing w:val="156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iZDg5NWEyMmI2ZGY2NDY5MTUzZTE0MWEzOTI0ZDUifQ=="/>
  </w:docVars>
  <w:rsids>
    <w:rsidRoot w:val="00172A27"/>
    <w:rsid w:val="00172A27"/>
    <w:rsid w:val="001D7677"/>
    <w:rsid w:val="002758A7"/>
    <w:rsid w:val="003C2304"/>
    <w:rsid w:val="003F3C24"/>
    <w:rsid w:val="005036DA"/>
    <w:rsid w:val="006A15DC"/>
    <w:rsid w:val="009E6309"/>
    <w:rsid w:val="00A66A0A"/>
    <w:rsid w:val="00AD4FBC"/>
    <w:rsid w:val="00BA4542"/>
    <w:rsid w:val="00BA490B"/>
    <w:rsid w:val="00D6159F"/>
    <w:rsid w:val="00F83805"/>
    <w:rsid w:val="00FE13C7"/>
    <w:rsid w:val="03821554"/>
    <w:rsid w:val="0D8B2CC2"/>
    <w:rsid w:val="1207637E"/>
    <w:rsid w:val="194547B2"/>
    <w:rsid w:val="25FB6086"/>
    <w:rsid w:val="26F557E1"/>
    <w:rsid w:val="2FDFD4E5"/>
    <w:rsid w:val="34AE6808"/>
    <w:rsid w:val="3BB74860"/>
    <w:rsid w:val="3BEDE4BA"/>
    <w:rsid w:val="53D86EE0"/>
    <w:rsid w:val="5C2A1C28"/>
    <w:rsid w:val="69437B5F"/>
    <w:rsid w:val="6DE767E3"/>
    <w:rsid w:val="7EFC759D"/>
    <w:rsid w:val="7FFB6C58"/>
    <w:rsid w:val="ED99B930"/>
    <w:rsid w:val="FB5D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rPr>
      <w:sz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1980</Words>
  <Characters>1993</Characters>
  <Lines>14</Lines>
  <Paragraphs>4</Paragraphs>
  <TotalTime>210</TotalTime>
  <ScaleCrop>false</ScaleCrop>
  <LinksUpToDate>false</LinksUpToDate>
  <CharactersWithSpaces>2027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2021-04-15T00:10:00Z</dcterms:created>
  <dc:creator>Administrator</dc:creator>
  <cp:lastModifiedBy>kylin</cp:lastModifiedBy>
  <cp:lastPrinted>2022-06-30T22:45:00Z</cp:lastPrinted>
  <dcterms:modified xsi:type="dcterms:W3CDTF">2022-07-29T11:29:08Z</dcterms:modified>
  <dc:title>附件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5E6E1910F35D49A6BFD0E98539029C8B</vt:lpwstr>
  </property>
</Properties>
</file>